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Соглашение на обработку персональных данных (актуальная редакция от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1.0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.2026)</w:t>
      </w:r>
      <w:r>
        <w:rPr>
          <w:sz w:val="28"/>
          <w:szCs w:val="28"/>
        </w:rPr>
      </w:r>
    </w:p>
    <w:p>
      <w:r/>
      <w:r/>
    </w:p>
    <w:p>
      <w:pPr>
        <w:rPr>
          <w:b/>
        </w:rPr>
      </w:pPr>
      <w:r>
        <w:rPr>
          <w:b/>
        </w:rPr>
        <w:t xml:space="preserve">1. Общие положения</w:t>
      </w:r>
      <w:r>
        <w:rPr>
          <w:b/>
        </w:rPr>
      </w:r>
    </w:p>
    <w:p>
      <w:r>
        <w:t xml:space="preserve">Настоящее Соглашение является официальным документом Индивидуальным предпринимателем Осмоловским Александром Станиславовичем (далее — Оператор), расположенного по адресу: Московская обл, г Люберцы,</w:t>
      </w:r>
      <w:r/>
    </w:p>
    <w:p>
      <w:r>
        <w:t xml:space="preserve">Пр-кт Октябрьский, д 405, корп 2, кв 55. Оно определяет порядок обработки и защиты персональных данных Пользователей сайта https://diesel-hard.ru (далее — Сайт).</w:t>
      </w:r>
      <w:r/>
    </w:p>
    <w:p>
      <w:r>
        <w:t xml:space="preserve">Отношения, связанные со сбором, хранен</w:t>
      </w:r>
      <w:r>
        <w:t xml:space="preserve">ием, распространением и защитой информации о Пользователях, регулируются настоящим Соглашением, иными официальными документами Оператора и действующим законодательством Российской Федерации, в частности Федеральным законом № 152-ФЗ «О персональных данных».</w:t>
      </w:r>
      <w:r/>
    </w:p>
    <w:p>
      <w:r/>
      <w:r/>
    </w:p>
    <w:p>
      <w:pPr>
        <w:rPr>
          <w:b/>
        </w:rPr>
      </w:pPr>
      <w:r>
        <w:rPr>
          <w:b/>
        </w:rPr>
        <w:t xml:space="preserve">2. Состав обрабатываемых данных</w:t>
      </w:r>
      <w:r>
        <w:rPr>
          <w:b/>
        </w:rPr>
      </w:r>
    </w:p>
    <w:p>
      <w:r>
        <w:t xml:space="preserve">Пользователь предоставляет, а Оператор обрабатывает следующие персональные данные:</w:t>
      </w:r>
      <w:r/>
    </w:p>
    <w:p>
      <w:r/>
      <w:r/>
    </w:p>
    <w:p>
      <w:r>
        <w:t xml:space="preserve">фамилия, имя, отчество;</w:t>
      </w:r>
      <w:r/>
    </w:p>
    <w:p>
      <w:r>
        <w:t xml:space="preserve">контактный телефон;</w:t>
      </w:r>
      <w:r/>
    </w:p>
    <w:p>
      <w:r>
        <w:t xml:space="preserve">адрес электронной почты;</w:t>
      </w:r>
      <w:r/>
    </w:p>
    <w:p>
      <w:r>
        <w:t xml:space="preserve">почтовый адрес для доставки заказов;</w:t>
      </w:r>
      <w:r/>
    </w:p>
    <w:p>
      <w:r>
        <w:t xml:space="preserve">платёжные реквизиты (в объеме, необходимом для проведения транзакции);</w:t>
      </w:r>
      <w:r/>
    </w:p>
    <w:p>
      <w:r>
        <w:t xml:space="preserve">технические данные: IP-адрес, файлы cookie, информация о браузере, геолокационные данные.</w:t>
      </w:r>
      <w:r/>
    </w:p>
    <w:p>
      <w:r/>
      <w:r/>
    </w:p>
    <w:p>
      <w:pPr>
        <w:rPr>
          <w:b/>
        </w:rPr>
      </w:pPr>
      <w:r>
        <w:rPr>
          <w:b/>
        </w:rPr>
        <w:t xml:space="preserve">3. Цели сбора и обработки персональных данных</w:t>
      </w:r>
      <w:r>
        <w:rPr>
          <w:b/>
        </w:rPr>
      </w:r>
    </w:p>
    <w:p>
      <w:r>
        <w:t xml:space="preserve">Обработка осуществляется исключительно в следующих целях:</w:t>
      </w:r>
      <w:r/>
    </w:p>
    <w:p>
      <w:r/>
      <w:r/>
    </w:p>
    <w:p>
      <w:r>
        <w:t xml:space="preserve">регистрация и идентификация Пользователя на Сайте;</w:t>
      </w:r>
      <w:r/>
    </w:p>
    <w:p>
      <w:r>
        <w:t xml:space="preserve">обработка заказов, продажа товаров и оказание услуг;</w:t>
      </w:r>
      <w:r/>
    </w:p>
    <w:p>
      <w:r>
        <w:t xml:space="preserve">доставка товара по указанному адресу;</w:t>
      </w:r>
      <w:r/>
    </w:p>
    <w:p>
      <w:r>
        <w:t xml:space="preserve">осуществление обратной связи, включая направление уведомлений, запросов и информации, касающихся использования Сайта, оказания услуг, обработки запросов и заявок от Пользователя;</w:t>
      </w:r>
      <w:r/>
    </w:p>
    <w:p>
      <w:r>
        <w:t xml:space="preserve">улучшение качества обслуживания, модернизация сервисов и проведение статистических исследований;</w:t>
      </w:r>
      <w:r/>
    </w:p>
    <w:p>
      <w:r>
        <w:t xml:space="preserve">направление информационных и рекламных сообщений (при наличии отдельного согласия Пользователя);</w:t>
      </w:r>
      <w:r/>
    </w:p>
    <w:p>
      <w:r>
        <w:t xml:space="preserve">исполнение требований законодательства РФ.</w:t>
      </w:r>
      <w:r/>
    </w:p>
    <w:p>
      <w:r/>
      <w:r/>
    </w:p>
    <w:p>
      <w:pPr>
        <w:rPr>
          <w:b/>
        </w:rPr>
      </w:pPr>
      <w:r>
        <w:rPr>
          <w:b/>
        </w:rPr>
        <w:t xml:space="preserve">4. Принципы и условия обработки</w:t>
      </w:r>
      <w:r>
        <w:rPr>
          <w:b/>
        </w:rPr>
      </w:r>
    </w:p>
    <w:p>
      <w:r>
        <w:t xml:space="preserve">4.1. Обработка персональных данных осуществляется на законной и справедливой основе.</w:t>
      </w:r>
      <w:r/>
    </w:p>
    <w:p>
      <w:r>
        <w:t xml:space="preserve">4.2. Оператор гарантирует конфиденциальность получаемой информации и применяет необходимые правовые, организационные и технические меры для защиты данных от неправомерного доступа, уничтожения, изменения или копирования.</w:t>
      </w:r>
      <w:r/>
    </w:p>
    <w:p>
      <w:r>
        <w:t xml:space="preserve">4.3. Передача данных третьим лицам возможна только в целях исполнения обязательств перед Пользователем:</w:t>
      </w:r>
      <w:r/>
    </w:p>
    <w:p>
      <w:r/>
      <w:r/>
    </w:p>
    <w:p>
      <w:r>
        <w:t xml:space="preserve">транспортным компаниям и службам доставки — для осуществления доставки заказа;</w:t>
      </w:r>
      <w:r/>
    </w:p>
    <w:p>
      <w:r>
        <w:t xml:space="preserve">банкам-эквайерам и платежным агрегаторам — для проведения платежей;</w:t>
      </w:r>
      <w:r/>
    </w:p>
    <w:p>
      <w:r>
        <w:t xml:space="preserve">правообладателям, дистрибьюторам или реселлерам программного обеспечения — при необходимости регистрации ПО на имя Пользователя. В этом случае гарантируется, что </w:t>
      </w:r>
      <w:r>
        <w:t xml:space="preserve">указанные лица осуществляют защиту данных на условиях не хуже изложенных в настоящем Соглашении.</w:t>
      </w:r>
      <w:r/>
    </w:p>
    <w:p>
      <w:r>
        <w:t xml:space="preserve">4.4. Трансграничная передача персональных данных не осуществляется, за исключением случаев, прямо предусмотренных законодательством РФ.</w:t>
      </w:r>
      <w:r/>
    </w:p>
    <w:p>
      <w:r/>
      <w:r/>
    </w:p>
    <w:p>
      <w:pPr>
        <w:rPr>
          <w:b/>
        </w:rPr>
      </w:pPr>
      <w:r>
        <w:rPr>
          <w:b/>
        </w:rPr>
        <w:t xml:space="preserve">5. Срок действия согласия</w:t>
      </w:r>
      <w:r>
        <w:rPr>
          <w:b/>
        </w:rPr>
      </w:r>
    </w:p>
    <w:p>
      <w:r>
        <w:t xml:space="preserve">5.1. Со</w:t>
      </w:r>
      <w:r>
        <w:t xml:space="preserve">гласие на обработку персональных данных действует до достижения целей обработки или до момента его отзыва Пользователем. Срок хранения данных составляет 5 лет после прекращения отношений с Пользователем, если иной срок не предусмотрен законодательством РФ.</w:t>
      </w:r>
      <w:r/>
    </w:p>
    <w:p>
      <w:r>
        <w:t xml:space="preserve">5.2. Настоящее согласие распространяется на все перечисленные в п. 2 категории данных.</w:t>
      </w:r>
      <w:r/>
    </w:p>
    <w:p>
      <w:r>
        <w:t xml:space="preserve">5.3. Пользователь может в любой момент отозвать настоящее согласие, направив письменное уведомление на юридический адрес Оператора: </w:t>
      </w:r>
      <w:r>
        <w:t xml:space="preserve">140006</w:t>
      </w:r>
      <w:r>
        <w:t xml:space="preserve"> Московская обл, г Люберцы,</w:t>
      </w:r>
      <w:r/>
    </w:p>
    <w:p>
      <w:r>
        <w:t xml:space="preserve">Пр-кт Октябрьский, д 405, корп 2, кв 55, с пометкой «Отзыв согласия на обработку персональных данных», либо отправив электронное письмо на адрес </w:t>
      </w:r>
      <w:r>
        <w:t xml:space="preserve">dieselhard@mail.ru</w:t>
      </w:r>
      <w:r>
        <w:t xml:space="preserve"> с того же адреса электронной почты, который был указан при регистрации.</w:t>
      </w:r>
      <w:r/>
    </w:p>
    <w:p>
      <w:r>
        <w:t xml:space="preserve">5.4. Обращаем ваше внимание, что отзыв согласия влечет за с</w:t>
      </w:r>
      <w:r>
        <w:t xml:space="preserve">обой удаление Вашей учётной записи с Интернет-сайта, а также уничтожение записей, содержащих ваши персональные данные, в системах обработки компании Дизель Хард, что сделает невозможным дальнейшее использование интернет-сервисов и оформление новых заказов.</w:t>
      </w:r>
      <w:r/>
    </w:p>
    <w:p>
      <w:r/>
      <w:r/>
    </w:p>
    <w:p>
      <w:pPr>
        <w:rPr>
          <w:b/>
        </w:rPr>
      </w:pPr>
      <w:r>
        <w:rPr>
          <w:b/>
        </w:rPr>
        <w:t xml:space="preserve">6. Права субъекта персональных данных</w:t>
      </w:r>
      <w:r>
        <w:rPr>
          <w:b/>
        </w:rPr>
      </w:r>
    </w:p>
    <w:p>
      <w:r>
        <w:t xml:space="preserve">Пользователь имеет право:</w:t>
      </w:r>
      <w:r/>
    </w:p>
    <w:p>
      <w:r/>
      <w:r/>
    </w:p>
    <w:p>
      <w:r>
        <w:t xml:space="preserve">получать информацию, касающуюся обработки его персональных данных;</w:t>
      </w:r>
      <w:r/>
    </w:p>
    <w:p>
      <w:r>
        <w:t xml:space="preserve">требовать от Оператора уточнения его персональных данных, их блокирования или уничтожения в случае, если данные являются неполными, устаревшими, неточными, незаконно полученными или не являются необходимыми для заявленной цели обработки;</w:t>
      </w:r>
      <w:r/>
    </w:p>
    <w:p>
      <w:r>
        <w:t xml:space="preserve">обжаловать действия или бездействие Оператора в уполномоченный орган по защите прав субъектов персональных данных (Роскомнадзор) или в судебном порядке.</w:t>
      </w:r>
      <w:r/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  <w:t xml:space="preserve">7. Заключительные положения</w:t>
      </w:r>
      <w:r>
        <w:rPr>
          <w:b/>
        </w:rPr>
      </w:r>
    </w:p>
    <w:p>
      <w:r>
        <w:t xml:space="preserve">7.1. Оператор оставляет за собой право вносить изменения в настоящую Политику. Новая редакция вступает в силу с момента ее размещения на Сайте, если иное не предусмотрено новой редакцией.</w:t>
      </w:r>
      <w:r/>
    </w:p>
    <w:p>
      <w:r>
        <w:t xml:space="preserve">7.2. Пользователь обязан самостоятельно отслеживать изменения в тексте настоящего Соглашения.</w:t>
      </w:r>
      <w:r/>
    </w:p>
    <w:p>
      <w:r>
        <w:t xml:space="preserve">7.3. Продолжение использования Сайта после внесения изменений означает полное и безоговорочное согласие Пользователя с обновленными условиями.</w:t>
      </w:r>
      <w:r/>
    </w:p>
    <w:p>
      <w:r>
        <w:t xml:space="preserve">7.4. Все предложения или вопросы по поводу настоящего Соглашения следует сообщать по реквизитам, указанным в разделе «Контакты» на Сайте diesel-hard.ru.</w:t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Calibri">
    <w:panose1 w:val="020F0502020204030204"/>
  </w:font>
  <w:font w:name="Times New Roman CYR">
    <w:panose1 w:val="020206030504050203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  <w:font w:name="Wingdings">
    <w:panose1 w:val="05010000000000000000"/>
  </w:font>
  <w:font w:name="PragmaticaC">
    <w:panose1 w:val="020B0809030403020204"/>
  </w:font>
  <w:font w:name="Liberation Sans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1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4140" w:hanging="360"/>
        <w:tabs>
          <w:tab w:val="num" w:pos="414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4860" w:hanging="360"/>
        <w:tabs>
          <w:tab w:val="num" w:pos="486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5580" w:hanging="180"/>
        <w:tabs>
          <w:tab w:val="num" w:pos="558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6300" w:hanging="360"/>
        <w:tabs>
          <w:tab w:val="num" w:pos="630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7020" w:hanging="360"/>
        <w:tabs>
          <w:tab w:val="num" w:pos="702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7740" w:hanging="180"/>
        <w:tabs>
          <w:tab w:val="num" w:pos="77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8460" w:hanging="360"/>
        <w:tabs>
          <w:tab w:val="num" w:pos="846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9180" w:hanging="360"/>
        <w:tabs>
          <w:tab w:val="num" w:pos="918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9900" w:hanging="180"/>
        <w:tabs>
          <w:tab w:val="num" w:pos="9900" w:leader="none"/>
        </w:tabs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5"/>
    <w:link w:val="69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5"/>
    <w:link w:val="69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5"/>
    <w:link w:val="69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91"/>
    <w:next w:val="69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9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91"/>
    <w:next w:val="69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9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91"/>
    <w:next w:val="69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9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91"/>
    <w:next w:val="69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91"/>
    <w:next w:val="69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91"/>
    <w:next w:val="69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91"/>
    <w:next w:val="69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5"/>
    <w:link w:val="35"/>
    <w:uiPriority w:val="10"/>
    <w:rPr>
      <w:sz w:val="48"/>
      <w:szCs w:val="48"/>
    </w:rPr>
  </w:style>
  <w:style w:type="paragraph" w:styleId="37">
    <w:name w:val="Subtitle"/>
    <w:basedOn w:val="691"/>
    <w:next w:val="69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5"/>
    <w:link w:val="37"/>
    <w:uiPriority w:val="11"/>
    <w:rPr>
      <w:sz w:val="24"/>
      <w:szCs w:val="24"/>
    </w:rPr>
  </w:style>
  <w:style w:type="paragraph" w:styleId="39">
    <w:name w:val="Quote"/>
    <w:basedOn w:val="691"/>
    <w:next w:val="69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91"/>
    <w:next w:val="69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5"/>
    <w:link w:val="710"/>
    <w:uiPriority w:val="99"/>
  </w:style>
  <w:style w:type="character" w:styleId="46">
    <w:name w:val="Footer Char"/>
    <w:basedOn w:val="695"/>
    <w:link w:val="712"/>
    <w:uiPriority w:val="99"/>
  </w:style>
  <w:style w:type="paragraph" w:styleId="47">
    <w:name w:val="Caption"/>
    <w:basedOn w:val="691"/>
    <w:next w:val="69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9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9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5"/>
    <w:uiPriority w:val="99"/>
    <w:unhideWhenUsed/>
    <w:rPr>
      <w:vertAlign w:val="superscript"/>
    </w:rPr>
  </w:style>
  <w:style w:type="paragraph" w:styleId="179">
    <w:name w:val="endnote text"/>
    <w:basedOn w:val="69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5"/>
    <w:uiPriority w:val="99"/>
    <w:semiHidden/>
    <w:unhideWhenUsed/>
    <w:rPr>
      <w:vertAlign w:val="superscript"/>
    </w:rPr>
  </w:style>
  <w:style w:type="paragraph" w:styleId="182">
    <w:name w:val="toc 1"/>
    <w:basedOn w:val="691"/>
    <w:next w:val="69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91"/>
    <w:next w:val="69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91"/>
    <w:next w:val="69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91"/>
    <w:next w:val="69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91"/>
    <w:next w:val="69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91"/>
    <w:next w:val="69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91"/>
    <w:next w:val="69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91"/>
    <w:next w:val="69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91"/>
    <w:next w:val="69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91"/>
    <w:next w:val="691"/>
    <w:uiPriority w:val="99"/>
    <w:unhideWhenUsed/>
    <w:pPr>
      <w:spacing w:after="0" w:afterAutospacing="0"/>
    </w:pPr>
  </w:style>
  <w:style w:type="paragraph" w:styleId="691" w:default="1">
    <w:name w:val="Normal"/>
    <w:qFormat/>
    <w:rPr>
      <w:sz w:val="24"/>
      <w:szCs w:val="24"/>
    </w:rPr>
  </w:style>
  <w:style w:type="paragraph" w:styleId="692">
    <w:name w:val="Heading 1"/>
    <w:basedOn w:val="691"/>
    <w:next w:val="691"/>
    <w:link w:val="698"/>
    <w:uiPriority w:val="9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693">
    <w:name w:val="Heading 2"/>
    <w:basedOn w:val="691"/>
    <w:next w:val="691"/>
    <w:link w:val="699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94">
    <w:name w:val="Heading 3"/>
    <w:basedOn w:val="691"/>
    <w:next w:val="691"/>
    <w:link w:val="70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695" w:default="1">
    <w:name w:val="Default Paragraph Font"/>
    <w:uiPriority w:val="1"/>
    <w:semiHidden/>
    <w:unhideWhenUsed/>
  </w:style>
  <w:style w:type="table" w:styleId="69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character" w:styleId="698" w:customStyle="1">
    <w:name w:val="Заголовок 1 Знак"/>
    <w:link w:val="692"/>
    <w:uiPriority w:val="99"/>
    <w:rPr>
      <w:rFonts w:ascii="Cambria" w:hAnsi="Cambria"/>
      <w:b/>
      <w:sz w:val="32"/>
    </w:rPr>
  </w:style>
  <w:style w:type="character" w:styleId="699" w:customStyle="1">
    <w:name w:val="Заголовок 2 Знак"/>
    <w:link w:val="693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700" w:customStyle="1">
    <w:name w:val="Заголовок 3 Знак"/>
    <w:link w:val="694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paragraph" w:styleId="701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702" w:customStyle="1">
    <w:name w:val="Text"/>
    <w:basedOn w:val="691"/>
    <w:uiPriority w:val="99"/>
    <w:pPr>
      <w:ind w:firstLine="397"/>
      <w:jc w:val="both"/>
      <w:spacing w:line="288" w:lineRule="auto"/>
      <w:tabs>
        <w:tab w:val="right" w:pos="9469" w:leader="underscore"/>
      </w:tabs>
    </w:pPr>
    <w:rPr>
      <w:rFonts w:ascii="PragmaticaC" w:hAnsi="PragmaticaC"/>
      <w:lang w:eastAsia="en-US"/>
    </w:rPr>
  </w:style>
  <w:style w:type="paragraph" w:styleId="703" w:customStyle="1">
    <w:name w:val="Heading"/>
    <w:basedOn w:val="692"/>
    <w:uiPriority w:val="99"/>
    <w:pPr>
      <w:jc w:val="both"/>
      <w:outlineLvl w:val="9"/>
    </w:pPr>
    <w:rPr>
      <w:rFonts w:ascii="Times New Roman CYR" w:hAnsi="Times New Roman CYR"/>
      <w:b w:val="0"/>
      <w:bCs w:val="0"/>
      <w:sz w:val="28"/>
      <w:szCs w:val="20"/>
      <w:lang w:eastAsia="en-US"/>
    </w:rPr>
  </w:style>
  <w:style w:type="character" w:styleId="704">
    <w:name w:val="Hyperlink"/>
    <w:uiPriority w:val="99"/>
    <w:rPr>
      <w:rFonts w:cs="Times New Roman"/>
      <w:color w:val="0000ff"/>
      <w:u w:val="single"/>
    </w:rPr>
  </w:style>
  <w:style w:type="paragraph" w:styleId="705">
    <w:name w:val="List Paragraph"/>
    <w:basedOn w:val="691"/>
    <w:link w:val="706"/>
    <w:uiPriority w:val="99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0"/>
      <w:lang w:eastAsia="en-US"/>
    </w:rPr>
  </w:style>
  <w:style w:type="character" w:styleId="706" w:customStyle="1">
    <w:name w:val="Абзац списка Знак"/>
    <w:link w:val="705"/>
    <w:uiPriority w:val="99"/>
    <w:rPr>
      <w:rFonts w:ascii="Calibri" w:hAnsi="Calibri"/>
      <w:sz w:val="22"/>
      <w:lang w:val="ru-RU" w:eastAsia="en-US"/>
    </w:rPr>
  </w:style>
  <w:style w:type="character" w:styleId="707" w:customStyle="1">
    <w:name w:val="am-cat-icon"/>
    <w:uiPriority w:val="99"/>
  </w:style>
  <w:style w:type="paragraph" w:styleId="708">
    <w:name w:val="Normal (Web)"/>
    <w:basedOn w:val="691"/>
    <w:uiPriority w:val="99"/>
    <w:pPr>
      <w:spacing w:before="100" w:beforeAutospacing="1" w:after="100" w:afterAutospacing="1"/>
    </w:pPr>
  </w:style>
  <w:style w:type="character" w:styleId="709">
    <w:name w:val="Strong"/>
    <w:uiPriority w:val="99"/>
    <w:qFormat/>
    <w:rPr>
      <w:rFonts w:cs="Times New Roman"/>
      <w:b/>
    </w:rPr>
  </w:style>
  <w:style w:type="paragraph" w:styleId="710">
    <w:name w:val="Header"/>
    <w:basedOn w:val="691"/>
    <w:link w:val="711"/>
    <w:uiPriority w:val="99"/>
    <w:pPr>
      <w:tabs>
        <w:tab w:val="center" w:pos="4677" w:leader="none"/>
        <w:tab w:val="right" w:pos="9355" w:leader="none"/>
      </w:tabs>
    </w:pPr>
    <w:rPr>
      <w:szCs w:val="20"/>
    </w:rPr>
  </w:style>
  <w:style w:type="character" w:styleId="711" w:customStyle="1">
    <w:name w:val="Верхний колонтитул Знак"/>
    <w:link w:val="710"/>
    <w:uiPriority w:val="99"/>
    <w:rPr>
      <w:sz w:val="24"/>
    </w:rPr>
  </w:style>
  <w:style w:type="paragraph" w:styleId="712">
    <w:name w:val="Footer"/>
    <w:basedOn w:val="691"/>
    <w:link w:val="713"/>
    <w:uiPriority w:val="99"/>
    <w:pPr>
      <w:tabs>
        <w:tab w:val="center" w:pos="4677" w:leader="none"/>
        <w:tab w:val="right" w:pos="9355" w:leader="none"/>
      </w:tabs>
    </w:pPr>
    <w:rPr>
      <w:szCs w:val="20"/>
    </w:rPr>
  </w:style>
  <w:style w:type="character" w:styleId="713" w:customStyle="1">
    <w:name w:val="Нижний колонтитул Знак"/>
    <w:link w:val="712"/>
    <w:uiPriority w:val="99"/>
    <w:rPr>
      <w:sz w:val="24"/>
    </w:rPr>
  </w:style>
  <w:style w:type="paragraph" w:styleId="714">
    <w:name w:val="No Spacing"/>
    <w:uiPriority w:val="99"/>
    <w:qFormat/>
    <w:rPr>
      <w:sz w:val="24"/>
      <w:szCs w:val="24"/>
    </w:rPr>
  </w:style>
  <w:style w:type="paragraph" w:styleId="715">
    <w:name w:val="Body Text 2"/>
    <w:basedOn w:val="691"/>
    <w:link w:val="716"/>
    <w:uiPriority w:val="99"/>
    <w:pPr>
      <w:jc w:val="both"/>
      <w:tabs>
        <w:tab w:val="left" w:pos="1395" w:leader="none"/>
      </w:tabs>
    </w:pPr>
  </w:style>
  <w:style w:type="character" w:styleId="716" w:customStyle="1">
    <w:name w:val="Основной текст 2 Знак"/>
    <w:link w:val="715"/>
    <w:uiPriority w:val="99"/>
    <w:rPr>
      <w:sz w:val="24"/>
    </w:rPr>
  </w:style>
  <w:style w:type="paragraph" w:styleId="717">
    <w:name w:val="Balloon Text"/>
    <w:basedOn w:val="691"/>
    <w:link w:val="718"/>
    <w:uiPriority w:val="99"/>
    <w:semiHidden/>
    <w:unhideWhenUsed/>
    <w:rPr>
      <w:rFonts w:ascii="Tahoma" w:hAnsi="Tahoma" w:cs="Tahoma"/>
      <w:sz w:val="16"/>
      <w:szCs w:val="16"/>
    </w:rPr>
  </w:style>
  <w:style w:type="character" w:styleId="718" w:customStyle="1">
    <w:name w:val="Текст выноски Знак"/>
    <w:link w:val="717"/>
    <w:uiPriority w:val="99"/>
    <w:semiHidden/>
    <w:rPr>
      <w:rFonts w:ascii="Tahoma" w:hAnsi="Tahoma" w:cs="Tahoma"/>
      <w:sz w:val="16"/>
      <w:szCs w:val="16"/>
    </w:rPr>
  </w:style>
  <w:style w:type="character" w:styleId="719">
    <w:name w:val="FollowedHyperlink"/>
    <w:basedOn w:val="695"/>
    <w:uiPriority w:val="99"/>
    <w:semiHidden/>
    <w:unhideWhenUsed/>
    <w:rPr>
      <w:color w:val="800080" w:themeColor="followedHyperlink"/>
      <w:u w:val="single"/>
    </w:rPr>
  </w:style>
  <w:style w:type="character" w:styleId="720" w:customStyle="1">
    <w:name w:val="Неразрешенное упоминание1"/>
    <w:basedOn w:val="695"/>
    <w:uiPriority w:val="99"/>
    <w:semiHidden/>
    <w:unhideWhenUsed/>
    <w:rPr>
      <w:color w:val="605e5c"/>
      <w:shd w:val="clear" w:color="auto" w:fill="e1dfdd"/>
    </w:rPr>
  </w:style>
  <w:style w:type="character" w:styleId="721" w:customStyle="1">
    <w:name w:val="Unresolved Mention"/>
    <w:basedOn w:val="695"/>
    <w:uiPriority w:val="99"/>
    <w:semiHidden/>
    <w:unhideWhenUsed/>
    <w:rPr>
      <w:color w:val="605e5c"/>
      <w:shd w:val="clear" w:color="auto" w:fill="e1dfdd"/>
    </w:rPr>
  </w:style>
  <w:style w:type="paragraph" w:styleId="722" w:customStyle="1">
    <w:name w:val="Default"/>
    <w:rPr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9E079-6098-4ACB-862E-464D986F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v.baldin</dc:creator>
  <cp:lastModifiedBy>Борис Барышев</cp:lastModifiedBy>
  <cp:revision>3</cp:revision>
  <dcterms:created xsi:type="dcterms:W3CDTF">2026-09-01T12:04:00Z</dcterms:created>
  <dcterms:modified xsi:type="dcterms:W3CDTF">2026-09-01T13:16:57Z</dcterms:modified>
</cp:coreProperties>
</file>